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B48" w:rsidRPr="00DE66CD" w:rsidRDefault="00F00B48" w:rsidP="00F47C81">
      <w:pPr>
        <w:widowControl w:val="0"/>
        <w:autoSpaceDE w:val="0"/>
        <w:autoSpaceDN w:val="0"/>
        <w:adjustRightInd w:val="0"/>
        <w:jc w:val="center"/>
        <w:rPr>
          <w:rFonts w:ascii="Helvetica" w:hAnsi="Helvetica" w:cs="Helvetica"/>
          <w:b/>
          <w:i/>
          <w:sz w:val="22"/>
          <w:szCs w:val="22"/>
          <w:u w:val="single"/>
        </w:rPr>
      </w:pPr>
      <w:r>
        <w:rPr>
          <w:rFonts w:ascii="Helvetica" w:hAnsi="Helvetica" w:cs="Helvetica"/>
          <w:b/>
          <w:i/>
          <w:sz w:val="22"/>
          <w:szCs w:val="22"/>
          <w:u w:val="single"/>
        </w:rPr>
        <w:t xml:space="preserve">Lignes directrices pour l'alimentation </w:t>
      </w:r>
      <w:proofErr w:type="spellStart"/>
      <w:r>
        <w:rPr>
          <w:rFonts w:ascii="Helvetica" w:hAnsi="Helvetica" w:cs="Helvetica"/>
          <w:b/>
          <w:i/>
          <w:sz w:val="22"/>
          <w:szCs w:val="22"/>
          <w:u w:val="single"/>
        </w:rPr>
        <w:t>entérale</w:t>
      </w:r>
      <w:proofErr w:type="spellEnd"/>
      <w:r>
        <w:rPr>
          <w:rFonts w:ascii="Helvetica" w:hAnsi="Helvetica" w:cs="Helvetica"/>
          <w:b/>
          <w:i/>
          <w:sz w:val="22"/>
          <w:szCs w:val="22"/>
          <w:u w:val="single"/>
        </w:rPr>
        <w:t xml:space="preserve"> dans les cas d'interventions chirurgicales</w:t>
      </w:r>
    </w:p>
    <w:p w:rsidR="00F00B48" w:rsidRPr="00184ED6" w:rsidRDefault="00F00B48" w:rsidP="00F00B48">
      <w:pPr>
        <w:widowControl w:val="0"/>
        <w:autoSpaceDE w:val="0"/>
        <w:autoSpaceDN w:val="0"/>
        <w:adjustRightInd w:val="0"/>
        <w:rPr>
          <w:rFonts w:ascii="Helvetica" w:hAnsi="Helvetica" w:cs="Helvetica"/>
          <w:sz w:val="8"/>
          <w:szCs w:val="8"/>
        </w:rPr>
      </w:pPr>
    </w:p>
    <w:p w:rsidR="00F00B48" w:rsidRPr="00DE66CD" w:rsidRDefault="00F00B48" w:rsidP="00F00B48">
      <w:pPr>
        <w:widowControl w:val="0"/>
        <w:autoSpaceDE w:val="0"/>
        <w:autoSpaceDN w:val="0"/>
        <w:adjustRightInd w:val="0"/>
        <w:rPr>
          <w:rFonts w:ascii="Helvetica" w:hAnsi="Helvetica" w:cs="Helvetica"/>
          <w:sz w:val="22"/>
          <w:szCs w:val="22"/>
          <w:u w:val="single"/>
        </w:rPr>
      </w:pPr>
      <w:r>
        <w:rPr>
          <w:rFonts w:ascii="Helvetica" w:hAnsi="Helvetica" w:cs="Helvetica"/>
          <w:sz w:val="22"/>
          <w:szCs w:val="22"/>
          <w:u w:val="single"/>
        </w:rPr>
        <w:t>Préface</w:t>
      </w:r>
    </w:p>
    <w:p w:rsidR="00F00B48" w:rsidRPr="00DE66CD" w:rsidRDefault="00F00B48" w:rsidP="00F00B48">
      <w:pPr>
        <w:widowControl w:val="0"/>
        <w:autoSpaceDE w:val="0"/>
        <w:autoSpaceDN w:val="0"/>
        <w:adjustRightInd w:val="0"/>
        <w:rPr>
          <w:rFonts w:ascii="Helvetica" w:hAnsi="Helvetica" w:cs="Helvetica"/>
          <w:sz w:val="22"/>
          <w:szCs w:val="22"/>
        </w:rPr>
      </w:pPr>
      <w:r>
        <w:rPr>
          <w:rFonts w:ascii="Helvetica" w:hAnsi="Helvetica" w:cs="Helvetica"/>
          <w:sz w:val="22"/>
          <w:szCs w:val="22"/>
        </w:rPr>
        <w:t xml:space="preserve">Les présentes lignes directrices visent à faciliter la gestion de l'alimentation </w:t>
      </w:r>
      <w:proofErr w:type="spellStart"/>
      <w:r>
        <w:rPr>
          <w:rFonts w:ascii="Helvetica" w:hAnsi="Helvetica" w:cs="Helvetica"/>
          <w:sz w:val="22"/>
          <w:szCs w:val="22"/>
        </w:rPr>
        <w:t>entérale</w:t>
      </w:r>
      <w:proofErr w:type="spellEnd"/>
      <w:r>
        <w:rPr>
          <w:rFonts w:ascii="Helvetica" w:hAnsi="Helvetica" w:cs="Helvetica"/>
          <w:sz w:val="22"/>
          <w:szCs w:val="22"/>
        </w:rPr>
        <w:t xml:space="preserve"> chez les patients gravement malades qui doivent subir une intervention chirurgicale. Bien qu'elles abordent la plupart des situations possibles, ces lignes directrices ne doivent pas se substituer au jugement clinique. Selon les circonstances, l'équipe soignante peut prendre une décision qui correspond aux meilleurs soins possible pour un patient donné.</w:t>
      </w:r>
    </w:p>
    <w:p w:rsidR="00F00B48" w:rsidRPr="00184ED6" w:rsidRDefault="00F00B48" w:rsidP="00F00B48">
      <w:pPr>
        <w:widowControl w:val="0"/>
        <w:autoSpaceDE w:val="0"/>
        <w:autoSpaceDN w:val="0"/>
        <w:adjustRightInd w:val="0"/>
        <w:rPr>
          <w:rFonts w:ascii="Helvetica" w:hAnsi="Helvetica" w:cs="Helvetica"/>
          <w:sz w:val="8"/>
          <w:szCs w:val="8"/>
        </w:rPr>
      </w:pPr>
    </w:p>
    <w:p w:rsidR="00F00B48" w:rsidRPr="00DE66CD" w:rsidRDefault="00F00B48" w:rsidP="00F00B48">
      <w:pPr>
        <w:widowControl w:val="0"/>
        <w:autoSpaceDE w:val="0"/>
        <w:autoSpaceDN w:val="0"/>
        <w:adjustRightInd w:val="0"/>
        <w:rPr>
          <w:rFonts w:ascii="Helvetica" w:hAnsi="Helvetica" w:cs="Helvetica"/>
          <w:sz w:val="22"/>
          <w:szCs w:val="22"/>
        </w:rPr>
      </w:pPr>
      <w:r>
        <w:rPr>
          <w:rFonts w:ascii="Helvetica" w:hAnsi="Helvetica" w:cs="Helvetica"/>
          <w:sz w:val="22"/>
          <w:szCs w:val="22"/>
        </w:rPr>
        <w:t xml:space="preserve">1.  Chez les patients intubés (sonde orotrachéale, sonde nasotrachéale ou canule de trachéotomie) et alimentés par sonde </w:t>
      </w:r>
      <w:proofErr w:type="spellStart"/>
      <w:r>
        <w:rPr>
          <w:rFonts w:ascii="Helvetica" w:hAnsi="Helvetica" w:cs="Helvetica"/>
          <w:sz w:val="22"/>
          <w:szCs w:val="22"/>
        </w:rPr>
        <w:t>postpylorique</w:t>
      </w:r>
      <w:proofErr w:type="spellEnd"/>
      <w:r>
        <w:rPr>
          <w:rFonts w:ascii="Helvetica" w:hAnsi="Helvetica" w:cs="Helvetica"/>
          <w:sz w:val="22"/>
          <w:szCs w:val="22"/>
        </w:rPr>
        <w:t xml:space="preserve"> ou par sonde de </w:t>
      </w:r>
      <w:proofErr w:type="spellStart"/>
      <w:r>
        <w:rPr>
          <w:rFonts w:ascii="Helvetica" w:hAnsi="Helvetica" w:cs="Helvetica"/>
          <w:sz w:val="22"/>
          <w:szCs w:val="22"/>
        </w:rPr>
        <w:t>jéjunostomie</w:t>
      </w:r>
      <w:proofErr w:type="spellEnd"/>
      <w:r>
        <w:rPr>
          <w:rFonts w:ascii="Helvetica" w:hAnsi="Helvetica" w:cs="Helvetica"/>
          <w:sz w:val="22"/>
          <w:szCs w:val="22"/>
        </w:rPr>
        <w:t xml:space="preserve">, l'alimentation </w:t>
      </w:r>
      <w:proofErr w:type="spellStart"/>
      <w:r>
        <w:rPr>
          <w:rFonts w:ascii="Helvetica" w:hAnsi="Helvetica" w:cs="Helvetica"/>
          <w:sz w:val="22"/>
          <w:szCs w:val="22"/>
        </w:rPr>
        <w:t>entérale</w:t>
      </w:r>
      <w:proofErr w:type="spellEnd"/>
      <w:r>
        <w:rPr>
          <w:rFonts w:ascii="Helvetica" w:hAnsi="Helvetica" w:cs="Helvetica"/>
          <w:sz w:val="22"/>
          <w:szCs w:val="22"/>
        </w:rPr>
        <w:t xml:space="preserve"> devrait se poursuivre jusqu'au moment où le patient doit être transporté à la salle d'opération.   L'alimentation devrait alors être interrompue pour l'intervention chirurgicale. Si on administre une perfusion d'insuline, celle-ci devrait également être interrompue.  </w:t>
      </w:r>
    </w:p>
    <w:p w:rsidR="00F00B48" w:rsidRPr="00184ED6" w:rsidRDefault="00F00B48" w:rsidP="00F00B48">
      <w:pPr>
        <w:widowControl w:val="0"/>
        <w:autoSpaceDE w:val="0"/>
        <w:autoSpaceDN w:val="0"/>
        <w:adjustRightInd w:val="0"/>
        <w:rPr>
          <w:rFonts w:ascii="Helvetica" w:hAnsi="Helvetica" w:cs="Helvetica"/>
          <w:sz w:val="8"/>
          <w:szCs w:val="8"/>
        </w:rPr>
      </w:pPr>
    </w:p>
    <w:p w:rsidR="00F00B48" w:rsidRPr="00DE66CD" w:rsidRDefault="00F00B48" w:rsidP="00F00B48">
      <w:pPr>
        <w:widowControl w:val="0"/>
        <w:autoSpaceDE w:val="0"/>
        <w:autoSpaceDN w:val="0"/>
        <w:adjustRightInd w:val="0"/>
        <w:rPr>
          <w:rFonts w:ascii="Helvetica" w:hAnsi="Helvetica" w:cs="Helvetica"/>
          <w:sz w:val="22"/>
          <w:szCs w:val="22"/>
        </w:rPr>
      </w:pPr>
      <w:r>
        <w:rPr>
          <w:rFonts w:ascii="Helvetica" w:hAnsi="Helvetica" w:cs="Helvetica"/>
          <w:sz w:val="22"/>
          <w:szCs w:val="22"/>
        </w:rPr>
        <w:t xml:space="preserve">2.  Chez les patients intubés et alimentés par sonde </w:t>
      </w:r>
      <w:proofErr w:type="spellStart"/>
      <w:r>
        <w:rPr>
          <w:rFonts w:ascii="Helvetica" w:hAnsi="Helvetica" w:cs="Helvetica"/>
          <w:sz w:val="22"/>
          <w:szCs w:val="22"/>
        </w:rPr>
        <w:t>orogastrique</w:t>
      </w:r>
      <w:proofErr w:type="spellEnd"/>
      <w:r>
        <w:rPr>
          <w:rFonts w:ascii="Helvetica" w:hAnsi="Helvetica" w:cs="Helvetica"/>
          <w:sz w:val="22"/>
          <w:szCs w:val="22"/>
        </w:rPr>
        <w:t xml:space="preserve"> ou </w:t>
      </w:r>
      <w:proofErr w:type="spellStart"/>
      <w:r>
        <w:rPr>
          <w:rFonts w:ascii="Helvetica" w:hAnsi="Helvetica" w:cs="Helvetica"/>
          <w:sz w:val="22"/>
          <w:szCs w:val="22"/>
        </w:rPr>
        <w:t>nasogastrique</w:t>
      </w:r>
      <w:proofErr w:type="spellEnd"/>
      <w:r>
        <w:rPr>
          <w:rFonts w:ascii="Helvetica" w:hAnsi="Helvetica" w:cs="Helvetica"/>
          <w:sz w:val="22"/>
          <w:szCs w:val="22"/>
        </w:rPr>
        <w:t xml:space="preserve"> (de type Salem </w:t>
      </w:r>
      <w:proofErr w:type="spellStart"/>
      <w:r>
        <w:rPr>
          <w:rFonts w:ascii="Helvetica" w:hAnsi="Helvetica" w:cs="Helvetica"/>
          <w:sz w:val="22"/>
          <w:szCs w:val="22"/>
        </w:rPr>
        <w:t>Sump</w:t>
      </w:r>
      <w:proofErr w:type="spellEnd"/>
      <w:r>
        <w:rPr>
          <w:rFonts w:ascii="Helvetica" w:hAnsi="Helvetica" w:cs="Helvetica"/>
          <w:sz w:val="22"/>
          <w:szCs w:val="22"/>
        </w:rPr>
        <w:t>), l'alimentation devrait être interrompue juste avant le transfert vers la salle d'opération et la sonde devrait être placée de façon à aspirer tout contenu gastrique résiduel avant l'intervention.</w:t>
      </w:r>
    </w:p>
    <w:p w:rsidR="00F00B48" w:rsidRPr="00184ED6" w:rsidRDefault="00F00B48" w:rsidP="00F00B48">
      <w:pPr>
        <w:widowControl w:val="0"/>
        <w:autoSpaceDE w:val="0"/>
        <w:autoSpaceDN w:val="0"/>
        <w:adjustRightInd w:val="0"/>
        <w:rPr>
          <w:rFonts w:ascii="Helvetica" w:hAnsi="Helvetica" w:cs="Helvetica"/>
          <w:sz w:val="8"/>
          <w:szCs w:val="8"/>
        </w:rPr>
      </w:pPr>
    </w:p>
    <w:p w:rsidR="00F00B48" w:rsidRPr="00DE66CD" w:rsidRDefault="00F00B48" w:rsidP="00F00B48">
      <w:pPr>
        <w:widowControl w:val="0"/>
        <w:autoSpaceDE w:val="0"/>
        <w:autoSpaceDN w:val="0"/>
        <w:adjustRightInd w:val="0"/>
        <w:rPr>
          <w:rFonts w:ascii="Helvetica" w:hAnsi="Helvetica" w:cs="Helvetica"/>
          <w:sz w:val="22"/>
          <w:szCs w:val="22"/>
        </w:rPr>
      </w:pPr>
      <w:r>
        <w:rPr>
          <w:rFonts w:ascii="Helvetica" w:hAnsi="Helvetica" w:cs="Helvetica"/>
          <w:sz w:val="22"/>
          <w:szCs w:val="22"/>
        </w:rPr>
        <w:t xml:space="preserve">3.  Chez les patients intubés et alimentés par sonde </w:t>
      </w:r>
      <w:proofErr w:type="spellStart"/>
      <w:r>
        <w:rPr>
          <w:rFonts w:ascii="Helvetica" w:hAnsi="Helvetica" w:cs="Helvetica"/>
          <w:sz w:val="22"/>
          <w:szCs w:val="22"/>
        </w:rPr>
        <w:t>nasogastrique</w:t>
      </w:r>
      <w:proofErr w:type="spellEnd"/>
      <w:r>
        <w:rPr>
          <w:rFonts w:ascii="Helvetica" w:hAnsi="Helvetica" w:cs="Helvetica"/>
          <w:sz w:val="22"/>
          <w:szCs w:val="22"/>
        </w:rPr>
        <w:t xml:space="preserve"> </w:t>
      </w:r>
      <w:proofErr w:type="spellStart"/>
      <w:r>
        <w:rPr>
          <w:rFonts w:ascii="Helvetica" w:hAnsi="Helvetica" w:cs="Helvetica"/>
          <w:sz w:val="22"/>
          <w:szCs w:val="22"/>
        </w:rPr>
        <w:t>monolumière</w:t>
      </w:r>
      <w:proofErr w:type="spellEnd"/>
      <w:r>
        <w:rPr>
          <w:rFonts w:ascii="Helvetica" w:hAnsi="Helvetica" w:cs="Helvetica"/>
          <w:sz w:val="22"/>
          <w:szCs w:val="22"/>
        </w:rPr>
        <w:t xml:space="preserve"> (</w:t>
      </w:r>
      <w:proofErr w:type="spellStart"/>
      <w:r>
        <w:rPr>
          <w:rFonts w:ascii="Helvetica" w:hAnsi="Helvetica" w:cs="Helvetica"/>
          <w:sz w:val="22"/>
          <w:szCs w:val="22"/>
        </w:rPr>
        <w:t>Entriflex</w:t>
      </w:r>
      <w:proofErr w:type="spellEnd"/>
      <w:r>
        <w:rPr>
          <w:rFonts w:ascii="Helvetica" w:hAnsi="Helvetica" w:cs="Helvetica"/>
          <w:sz w:val="22"/>
          <w:szCs w:val="22"/>
        </w:rPr>
        <w:t xml:space="preserve"> ou autre) ou par sonde de gastrotomie percutanée, l'alimentation devrait être interrompue au moment du transport à la salle d'opération et le contenu gastrique devrait être aspiré à l'aide d'une seringue (on ne devrait pas utiliser de systèmes d'aspiration encastrés avec ces sondes).</w:t>
      </w:r>
    </w:p>
    <w:p w:rsidR="00F00B48" w:rsidRPr="00184ED6" w:rsidRDefault="00F00B48" w:rsidP="00F00B48">
      <w:pPr>
        <w:widowControl w:val="0"/>
        <w:autoSpaceDE w:val="0"/>
        <w:autoSpaceDN w:val="0"/>
        <w:adjustRightInd w:val="0"/>
        <w:rPr>
          <w:rFonts w:ascii="Helvetica" w:hAnsi="Helvetica" w:cs="Helvetica"/>
          <w:sz w:val="8"/>
          <w:szCs w:val="8"/>
        </w:rPr>
      </w:pPr>
    </w:p>
    <w:p w:rsidR="00F00B48" w:rsidRPr="00DE66CD" w:rsidRDefault="00F00B48" w:rsidP="00F00B48">
      <w:pPr>
        <w:widowControl w:val="0"/>
        <w:autoSpaceDE w:val="0"/>
        <w:autoSpaceDN w:val="0"/>
        <w:adjustRightInd w:val="0"/>
        <w:rPr>
          <w:rFonts w:ascii="Helvetica" w:hAnsi="Helvetica" w:cs="Helvetica"/>
          <w:sz w:val="22"/>
          <w:szCs w:val="22"/>
        </w:rPr>
      </w:pPr>
      <w:r>
        <w:rPr>
          <w:rFonts w:ascii="Helvetica" w:hAnsi="Helvetica" w:cs="Helvetica"/>
          <w:sz w:val="22"/>
          <w:szCs w:val="22"/>
        </w:rPr>
        <w:t>4.  Chez les patients intubés qui subissent une intervention des voies respiratoires (</w:t>
      </w:r>
      <w:proofErr w:type="gramStart"/>
      <w:r>
        <w:rPr>
          <w:rFonts w:ascii="Helvetica" w:hAnsi="Helvetica" w:cs="Helvetica"/>
          <w:sz w:val="22"/>
          <w:szCs w:val="22"/>
        </w:rPr>
        <w:t>p</w:t>
      </w:r>
      <w:proofErr w:type="gramEnd"/>
      <w:r>
        <w:rPr>
          <w:rFonts w:ascii="Helvetica" w:hAnsi="Helvetica" w:cs="Helvetica"/>
          <w:sz w:val="22"/>
          <w:szCs w:val="22"/>
        </w:rPr>
        <w:t>. ex. remplacement de la canule trachéale ou laryngectomie), l'alimentation devrait être interrompue 6 heures avant l'intervention, selon les directives de l'anesthésiste.</w:t>
      </w:r>
    </w:p>
    <w:p w:rsidR="00F00B48" w:rsidRPr="00184ED6" w:rsidRDefault="00F00B48" w:rsidP="00F00B48">
      <w:pPr>
        <w:widowControl w:val="0"/>
        <w:autoSpaceDE w:val="0"/>
        <w:autoSpaceDN w:val="0"/>
        <w:adjustRightInd w:val="0"/>
        <w:rPr>
          <w:rFonts w:ascii="Helvetica" w:hAnsi="Helvetica" w:cs="Helvetica"/>
          <w:sz w:val="8"/>
          <w:szCs w:val="8"/>
        </w:rPr>
      </w:pPr>
    </w:p>
    <w:p w:rsidR="00F00B48" w:rsidRPr="00DE66CD" w:rsidRDefault="00F00B48" w:rsidP="00F00B48">
      <w:pPr>
        <w:rPr>
          <w:rFonts w:ascii="Helvetica" w:hAnsi="Helvetica" w:cs="Helvetica"/>
          <w:sz w:val="22"/>
          <w:szCs w:val="22"/>
        </w:rPr>
      </w:pPr>
      <w:r>
        <w:rPr>
          <w:rFonts w:ascii="Helvetica" w:hAnsi="Helvetica" w:cs="Helvetica"/>
          <w:sz w:val="22"/>
          <w:szCs w:val="22"/>
        </w:rPr>
        <w:t xml:space="preserve">5.  Au retour de la salle d'opération, après une chirurgie non abdominale, l'alimentation devrait être réinstaurée au même débit qu'avant l'intervention.   </w:t>
      </w:r>
    </w:p>
    <w:p w:rsidR="00F00B48" w:rsidRPr="00184ED6" w:rsidRDefault="00F00B48" w:rsidP="00F00B48">
      <w:pPr>
        <w:rPr>
          <w:rFonts w:ascii="Helvetica" w:hAnsi="Helvetica" w:cs="Helvetica"/>
          <w:sz w:val="8"/>
          <w:szCs w:val="8"/>
        </w:rPr>
      </w:pPr>
    </w:p>
    <w:p w:rsidR="00F00B48" w:rsidRPr="00DE66CD" w:rsidRDefault="00F00B48" w:rsidP="00F00B48">
      <w:pPr>
        <w:rPr>
          <w:rFonts w:ascii="Helvetica" w:hAnsi="Helvetica" w:cs="Helvetica"/>
          <w:sz w:val="22"/>
          <w:szCs w:val="22"/>
        </w:rPr>
      </w:pPr>
      <w:r>
        <w:rPr>
          <w:rFonts w:ascii="Helvetica" w:hAnsi="Helvetica" w:cs="Helvetica"/>
          <w:sz w:val="22"/>
          <w:szCs w:val="22"/>
        </w:rPr>
        <w:t xml:space="preserve">6.  Chez les patients ayant subi une chirurgie abdominale, l'alimentation devrait habituellement être réinstaurée à un débit réduit (10 ml/h) jusqu'à ce que la tolérance soit établie. Le débit peut ensuite être ajusté selon l'algorithme d'alimentation. Dans certaines situations, l'équipe chirurgicale peut prescrire l'arrêt de l'alimentation </w:t>
      </w:r>
      <w:proofErr w:type="spellStart"/>
      <w:r>
        <w:rPr>
          <w:rFonts w:ascii="Helvetica" w:hAnsi="Helvetica" w:cs="Helvetica"/>
          <w:sz w:val="22"/>
          <w:szCs w:val="22"/>
        </w:rPr>
        <w:t>entérale</w:t>
      </w:r>
      <w:proofErr w:type="spellEnd"/>
      <w:r>
        <w:rPr>
          <w:rFonts w:ascii="Helvetica" w:hAnsi="Helvetica" w:cs="Helvetica"/>
          <w:sz w:val="22"/>
          <w:szCs w:val="22"/>
        </w:rPr>
        <w:t xml:space="preserve"> (p. ex. affection intestinale ischémique ou fistule).</w:t>
      </w:r>
    </w:p>
    <w:p w:rsidR="00F00B48" w:rsidRPr="00184ED6" w:rsidRDefault="00F00B48" w:rsidP="00F00B48">
      <w:pPr>
        <w:rPr>
          <w:rFonts w:ascii="Helvetica" w:hAnsi="Helvetica" w:cs="Helvetica"/>
          <w:sz w:val="8"/>
          <w:szCs w:val="8"/>
        </w:rPr>
      </w:pPr>
    </w:p>
    <w:p w:rsidR="00F00B48" w:rsidRPr="00F52214" w:rsidRDefault="00F00B48" w:rsidP="00F00B48">
      <w:pPr>
        <w:rPr>
          <w:rFonts w:ascii="Helvetica" w:hAnsi="Helvetica" w:cs="Times"/>
          <w:color w:val="000000"/>
          <w:sz w:val="16"/>
          <w:szCs w:val="16"/>
        </w:rPr>
      </w:pPr>
      <w:r>
        <w:rPr>
          <w:rFonts w:ascii="Helvetica" w:hAnsi="Helvetica" w:cs="Helvetica"/>
          <w:sz w:val="22"/>
          <w:szCs w:val="22"/>
        </w:rPr>
        <w:t>7.  Chez les patients non intubés et alimentés par voie orale ou par sonde, l'alimentation devrait être interrompue au moins 6 heures avant toute intervention chirurgicale non urgente.  Ces patients peuvent tout de même recevoir leurs médicaments avec une petite quantité d'eau.</w:t>
      </w:r>
      <w:r>
        <w:br/>
      </w:r>
      <w:r>
        <w:rPr>
          <w:rFonts w:ascii="Helvetica" w:hAnsi="Helvetica" w:cs="Helvetica"/>
          <w:sz w:val="16"/>
        </w:rPr>
        <w:t>(</w:t>
      </w:r>
      <w:r>
        <w:rPr>
          <w:rFonts w:ascii="Helvetica" w:hAnsi="Helvetica" w:cs="Times"/>
          <w:i/>
          <w:color w:val="000000"/>
          <w:sz w:val="16"/>
          <w:szCs w:val="16"/>
        </w:rPr>
        <w:t xml:space="preserve">Can J </w:t>
      </w:r>
      <w:proofErr w:type="spellStart"/>
      <w:r>
        <w:rPr>
          <w:rFonts w:ascii="Helvetica" w:hAnsi="Helvetica" w:cs="Times"/>
          <w:i/>
          <w:color w:val="000000"/>
          <w:sz w:val="16"/>
          <w:szCs w:val="16"/>
        </w:rPr>
        <w:t>Anesth</w:t>
      </w:r>
      <w:proofErr w:type="spellEnd"/>
      <w:r>
        <w:rPr>
          <w:rFonts w:ascii="Helvetica" w:hAnsi="Helvetica" w:cs="Times"/>
          <w:i/>
          <w:color w:val="000000"/>
          <w:sz w:val="16"/>
          <w:szCs w:val="16"/>
        </w:rPr>
        <w:t xml:space="preserve">/J Can </w:t>
      </w:r>
      <w:proofErr w:type="spellStart"/>
      <w:r>
        <w:rPr>
          <w:rFonts w:ascii="Helvetica" w:hAnsi="Helvetica" w:cs="Times"/>
          <w:i/>
          <w:color w:val="000000"/>
          <w:sz w:val="16"/>
          <w:szCs w:val="16"/>
        </w:rPr>
        <w:t>Anesth</w:t>
      </w:r>
      <w:proofErr w:type="spellEnd"/>
      <w:r>
        <w:rPr>
          <w:rFonts w:ascii="Helvetica" w:hAnsi="Helvetica" w:cs="Times"/>
          <w:color w:val="000000"/>
          <w:sz w:val="16"/>
          <w:szCs w:val="16"/>
        </w:rPr>
        <w:t xml:space="preserve"> (2010) 57:58–87)</w:t>
      </w:r>
    </w:p>
    <w:sectPr w:rsidR="00F00B48" w:rsidRPr="00F52214" w:rsidSect="00F47C81">
      <w:headerReference w:type="default" r:id="rId8"/>
      <w:footerReference w:type="default" r:id="rId9"/>
      <w:pgSz w:w="12240" w:h="15840"/>
      <w:pgMar w:top="3261" w:right="1800" w:bottom="1134"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278" w:rsidRDefault="00C10278">
      <w:r>
        <w:separator/>
      </w:r>
    </w:p>
  </w:endnote>
  <w:endnote w:type="continuationSeparator" w:id="0">
    <w:p w:rsidR="00C10278" w:rsidRDefault="00C102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48" w:rsidRDefault="00F00B48" w:rsidP="005D497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278" w:rsidRDefault="00C10278">
      <w:r>
        <w:separator/>
      </w:r>
    </w:p>
  </w:footnote>
  <w:footnote w:type="continuationSeparator" w:id="0">
    <w:p w:rsidR="00C10278" w:rsidRDefault="00C10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48" w:rsidRDefault="00D349EB" w:rsidP="00F00B48">
    <w:pPr>
      <w:pStyle w:val="Header"/>
      <w:jc w:val="center"/>
    </w:pPr>
    <w:r>
      <w:rPr>
        <w:noProof/>
        <w:lang w:val="en-US"/>
      </w:rPr>
      <w:drawing>
        <wp:anchor distT="0" distB="0" distL="114300" distR="114300" simplePos="0" relativeHeight="251657728" behindDoc="1" locked="0" layoutInCell="1" allowOverlap="1">
          <wp:simplePos x="0" y="0"/>
          <wp:positionH relativeFrom="column">
            <wp:posOffset>-1143000</wp:posOffset>
          </wp:positionH>
          <wp:positionV relativeFrom="paragraph">
            <wp:posOffset>-436245</wp:posOffset>
          </wp:positionV>
          <wp:extent cx="7784465" cy="10058400"/>
          <wp:effectExtent l="19050" t="0" r="6985" b="0"/>
          <wp:wrapNone/>
          <wp:docPr id="6" name="Picture 6" descr="1711w2B_Letterhead_Background_WRK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11w2B_Letterhead_Background_WRK_FR"/>
                  <pic:cNvPicPr>
                    <a:picLocks noChangeAspect="1" noChangeArrowheads="1"/>
                  </pic:cNvPicPr>
                </pic:nvPicPr>
                <pic:blipFill>
                  <a:blip r:embed="rId1"/>
                  <a:srcRect/>
                  <a:stretch>
                    <a:fillRect/>
                  </a:stretch>
                </pic:blipFill>
                <pic:spPr bwMode="auto">
                  <a:xfrm>
                    <a:off x="0" y="0"/>
                    <a:ext cx="7784465" cy="10058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76F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proofState w:spelling="clean" w:grammar="clean"/>
  <w:stylePaneFormatFilter w:val="3F01"/>
  <w:defaultTabStop w:val="720"/>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rsids>
    <w:rsidRoot w:val="00C36907"/>
    <w:rsid w:val="00184ED6"/>
    <w:rsid w:val="00564D67"/>
    <w:rsid w:val="005D497E"/>
    <w:rsid w:val="00681E9A"/>
    <w:rsid w:val="0086363C"/>
    <w:rsid w:val="00B25519"/>
    <w:rsid w:val="00C01A98"/>
    <w:rsid w:val="00C10278"/>
    <w:rsid w:val="00C36907"/>
    <w:rsid w:val="00D349EB"/>
    <w:rsid w:val="00F00B48"/>
    <w:rsid w:val="00F47C8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CAE"/>
    <w:rPr>
      <w:sz w:val="24"/>
      <w:szCs w:val="24"/>
      <w:lang w:val="fr-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2ECA"/>
    <w:rPr>
      <w:rFonts w:ascii="Tahoma" w:hAnsi="Tahoma" w:cs="Tahoma"/>
      <w:sz w:val="16"/>
      <w:szCs w:val="16"/>
    </w:rPr>
  </w:style>
  <w:style w:type="paragraph" w:styleId="Header">
    <w:name w:val="header"/>
    <w:basedOn w:val="Normal"/>
    <w:rsid w:val="00F52214"/>
    <w:pPr>
      <w:tabs>
        <w:tab w:val="center" w:pos="4320"/>
        <w:tab w:val="right" w:pos="8640"/>
      </w:tabs>
    </w:pPr>
  </w:style>
  <w:style w:type="paragraph" w:styleId="Footer">
    <w:name w:val="footer"/>
    <w:basedOn w:val="Normal"/>
    <w:rsid w:val="00F52214"/>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CB6A5-194C-4D3F-9E00-F7CA805B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2443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Enteral feeds and procedures (surgery and extubation)</vt:lpstr>
    </vt:vector>
  </TitlesOfParts>
  <Company>Michael A. Meier Prof Corp</Company>
  <LinksUpToDate>false</LinksUpToDate>
  <CharactersWithSpaces>2827</CharactersWithSpaces>
  <SharedDoc>false</SharedDoc>
  <HLinks>
    <vt:vector size="6" baseType="variant">
      <vt:variant>
        <vt:i4>7209005</vt:i4>
      </vt:variant>
      <vt:variant>
        <vt:i4>-1</vt:i4>
      </vt:variant>
      <vt:variant>
        <vt:i4>2054</vt:i4>
      </vt:variant>
      <vt:variant>
        <vt:i4>1</vt:i4>
      </vt:variant>
      <vt:variant>
        <vt:lpwstr>1711w2B_Letterhead_Background_WRK_FR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Enteral feeds and procedures (surgery and extubation)</dc:title>
  <dc:creator>Information Systems</dc:creator>
  <cp:lastModifiedBy>violam</cp:lastModifiedBy>
  <cp:revision>2</cp:revision>
  <cp:lastPrinted>2011-05-24T04:19:00Z</cp:lastPrinted>
  <dcterms:created xsi:type="dcterms:W3CDTF">2013-02-20T18:50:00Z</dcterms:created>
  <dcterms:modified xsi:type="dcterms:W3CDTF">2013-02-20T18:50:00Z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4.3">
    <vt:lpwstr>2012-11-13 11:01:21</vt:lpwstr>
  </property>
</Properties>
</file>